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5.07874015747916"/>
        <w:jc w:val="left"/>
        <w:rPr>
          <w:color w:val="000000"/>
        </w:rPr>
      </w:pPr>
      <w:bookmarkStart w:colFirst="0" w:colLast="0" w:name="_zbifluwdwg4t" w:id="0"/>
      <w:bookmarkEnd w:id="0"/>
      <w:r w:rsidDel="00000000" w:rsidR="00000000" w:rsidRPr="00000000">
        <w:rPr>
          <w:sz w:val="36"/>
          <w:szCs w:val="36"/>
          <w:rtl w:val="0"/>
        </w:rPr>
        <w:t xml:space="preserve">Przyszłość finansów z najlepszym akceleratorem z Doliny Krzemowej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right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color w:val="21a7dd"/>
          <w:sz w:val="26"/>
          <w:szCs w:val="26"/>
          <w:rtl w:val="0"/>
        </w:rPr>
        <w:t xml:space="preserve">Nethone - operująca globalnie firma technologiczna, dostarczająca oparte na sztucznej inteligencji rozwiązania KYU (Know Your Users), dołączyła do akceleratora Plug and Play w grupie Fintech.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right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color w:val="21a7dd"/>
          <w:sz w:val="26"/>
          <w:szCs w:val="26"/>
          <w:rtl w:val="0"/>
        </w:rPr>
        <w:t xml:space="preserve">Plug and Play to ekosystem startupów i </w:t>
      </w:r>
      <w:r w:rsidDel="00000000" w:rsidR="00000000" w:rsidRPr="00000000">
        <w:rPr>
          <w:color w:val="21a7dd"/>
          <w:sz w:val="26"/>
          <w:szCs w:val="26"/>
          <w:rtl w:val="0"/>
        </w:rPr>
        <w:t xml:space="preserve">fundusz venture capital, </w:t>
      </w:r>
      <w:r w:rsidDel="00000000" w:rsidR="00000000" w:rsidRPr="00000000">
        <w:rPr>
          <w:color w:val="21a7dd"/>
          <w:sz w:val="26"/>
          <w:szCs w:val="26"/>
          <w:rtl w:val="0"/>
        </w:rPr>
        <w:t xml:space="preserve">który łączy wiodące korporacje z obiecującymi startupami.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right="0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1a7dd"/>
          <w:sz w:val="26"/>
          <w:szCs w:val="26"/>
          <w:rtl w:val="0"/>
        </w:rPr>
        <w:t xml:space="preserve">Polska firma</w:t>
      </w:r>
      <w:r w:rsidDel="00000000" w:rsidR="00000000" w:rsidRPr="00000000">
        <w:rPr>
          <w:color w:val="21a7dd"/>
          <w:sz w:val="26"/>
          <w:szCs w:val="26"/>
          <w:rtl w:val="0"/>
        </w:rPr>
        <w:t xml:space="preserve"> technologiczna dołączyła do 25 innych startupów na 3-miesięczny program, który </w:t>
      </w:r>
      <w:r w:rsidDel="00000000" w:rsidR="00000000" w:rsidRPr="00000000">
        <w:rPr>
          <w:color w:val="21a7dd"/>
          <w:sz w:val="26"/>
          <w:szCs w:val="26"/>
          <w:rtl w:val="0"/>
        </w:rPr>
        <w:t xml:space="preserve">zakończy się podczas Fall Summit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right="0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1a7dd"/>
          <w:sz w:val="26"/>
          <w:szCs w:val="26"/>
          <w:rtl w:val="0"/>
        </w:rPr>
        <w:t xml:space="preserve">Fintech to drugi program akceleracyjny Plug and Play, do którego zaproszono Nethone. Pierwszy koncentrował się na </w:t>
      </w:r>
      <w:r w:rsidDel="00000000" w:rsidR="00000000" w:rsidRPr="00000000">
        <w:rPr>
          <w:color w:val="21a7dd"/>
          <w:sz w:val="26"/>
          <w:szCs w:val="26"/>
          <w:rtl w:val="0"/>
        </w:rPr>
        <w:t xml:space="preserve">branży turystycznej i hotelarskiej</w:t>
      </w:r>
      <w:r w:rsidDel="00000000" w:rsidR="00000000" w:rsidRPr="00000000">
        <w:rPr>
          <w:color w:val="21a7dd"/>
          <w:sz w:val="26"/>
          <w:szCs w:val="2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right="0" w:firstLine="0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right="0" w:firstLine="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Oparte na sztucznej inteligencji rozwiązanie Nethone pomaga pozyskiwać więcej lojalnych klientów i zapobiega fraudom płatniczym dzięki użyciu systemu analitycznego Know Your Users. Kilka tygodni po zakończonym sukcesem programie Travel &amp; Hospitality, partnerzy korporacyjni Plug and Play, wybrali Nethone do programu “Fall 2019’, tym razem w ramach branży fintech.</w:t>
      </w:r>
    </w:p>
    <w:p w:rsidR="00000000" w:rsidDel="00000000" w:rsidP="00000000" w:rsidRDefault="00000000" w:rsidRPr="00000000" w14:paraId="00000008">
      <w:pPr>
        <w:spacing w:line="276" w:lineRule="auto"/>
        <w:ind w:left="0" w:right="0" w:firstLine="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ind w:left="0" w:right="0" w:firstLine="0"/>
        <w:rPr>
          <w:color w:val="222222"/>
          <w:sz w:val="54"/>
          <w:szCs w:val="54"/>
          <w:shd w:fill="f8f9fa" w:val="clear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Plug and Play Fintech powstał w 2015 roku. Do tej pory połączył ponad 200 startupów z branży fintech, a zainwestował w 50 z nich. Aby kontynuować misję globalnie, Plug and Play otworzył swoje biura w Nowym Jorku, Paryżu, Abu Zabi, Frankfurcie, Tokio, Singapurze i Chinach.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right="0" w:firstLine="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“Celem uczestnictwa w 12-tygodniowym programie akceleracyjnym jest nawiązanie współpracy z największymi instytucjami finansowymi, uruchomienie programów pilotażowych, podpisanie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kolejnych umów licencyjnych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oraz tworzenie solidnych możliwości rozwoju biznesu z partnerami programu”, wyjaśnia Rodrigo Camacho, CCO Nethone, który reprezentował firmę podczas wydarzenia Selection Day, pod koniec lipca br. „Instytucje działające w sektorze finansowym od zawsze interesowały się innowacjami, szczególnie w obszarze zapobiegania oszustwom online. Nethone dostarcza rozwiązania, które w możliwie najlepszy sposób segmentują użytkowników. Działamy, aby zaufanie pokładane w bankach i innych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instytucjach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finansowych nie zostało nadszarpnięte.” </w:t>
      </w:r>
    </w:p>
    <w:p w:rsidR="00000000" w:rsidDel="00000000" w:rsidP="00000000" w:rsidRDefault="00000000" w:rsidRPr="00000000" w14:paraId="0000000C">
      <w:pPr>
        <w:spacing w:line="276" w:lineRule="auto"/>
        <w:ind w:left="0" w:right="0" w:firstLine="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right="0" w:firstLine="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Nethone opracował i dokładnie przetestował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modele zapobiegania fraudom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 oraz w pełni dostosował je do specyfiki sektora finansowego.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Rozwiązanie działa jak hub: analizuje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dane otrzymane od instytucji finansowych oraz ponad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5000 informacji zebranych przez specjalne zaprojektowane narzędzie profilujące.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Następnie w czasie rzeczywistym wydaje rekomendacje pomagające zapobiec oszustwom, ocenić ryzyko i segmentować klientów.</w:t>
      </w:r>
    </w:p>
    <w:p w:rsidR="00000000" w:rsidDel="00000000" w:rsidP="00000000" w:rsidRDefault="00000000" w:rsidRPr="00000000" w14:paraId="0000000E">
      <w:pPr>
        <w:spacing w:line="276" w:lineRule="auto"/>
        <w:ind w:left="0" w:right="0" w:firstLine="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right="0" w:firstLine="0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“Z radością przyjęliśmy informację, że po raz kolejny zostaliśmy częścią programu Plug and Play! Z niecierpliwością czekamy na rozmowy i kolejne spotkania z instytucjami finansowymi, poszukującymi zarówno innowacyjnych rozwiązań do wdrożenia w swoich organizacjach, jak i inwestycji portfelowych,” komentuje Hubert Rachwalski,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CEO Nethone.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„Udział w programie dla branży fintech będzie kolejnym wyzwaniem, przed którym staje nasza firma. Czekamy na nowe możliwości, które program gwarantuje. Rozpędzamy się, a ta współpraca pomoże nam rosnąć jeszcze szybciej”.</w:t>
      </w:r>
    </w:p>
    <w:p w:rsidR="00000000" w:rsidDel="00000000" w:rsidP="00000000" w:rsidRDefault="00000000" w:rsidRPr="00000000" w14:paraId="00000010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Plug and Play to ekosystem, skupiający najlepsze startupy, inwestorów i największe korporacje na świecie. Organizacja, która ma swoją siedzibę w Dolinie Krzemowej, tworzyprogramy akceleracyjne, korporacyjne usługi innowacyjne i wewnętrzny VC,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by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wydajniej i szybciej wspierać postęp technologiczny. Aby zapewnić startupom niezbędne zasoby na drodze do sukcesu w Dolinie Krzemowej i poza nią, Plug and Play jest obecnie aktywny w 25 krajach na całym świecie, w tym w USA, Chinach, Francji, Niemczech, Holandii, Singapurze, Indonezji i Meksyku.</w:t>
      </w:r>
    </w:p>
    <w:p w:rsidR="00000000" w:rsidDel="00000000" w:rsidP="00000000" w:rsidRDefault="00000000" w:rsidRPr="00000000" w14:paraId="00000012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Nethone od 2016 r. świadczy usługi w zakresie zapobiegania fraudom płatniczym w branży turystycznej, ecommerce i pożyczek online. Od samego początku polska firma obsługuje klientów na całym świecie.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right="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 Nethone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Nethone jest dostawcą opartych na sztucznej inteligencji rozwiązań KYU (Know Your Users), które pomagają przedsiębiorstwom przekształcać cyberzagrożenia w trafne oraz dochodowe decyzje biznesowe. Oferuje produkty, które równocześnie pozwalają firmom chronić się przed stratami, jak i zwiększać zyski. Do takich rozwiązań należą m.in. najwyższej klasy zabezpieczenia przed oszustwami online, działające w czasie rzeczywistym narzędzia do adaptacyjnej segmentacji i retencji klientów czy wykorzystujące biometrię behawioralną systemy do zapobiegania przejęciom kont bankowych. Więcej informacji dostępnych jest na stronie: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nethone.com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right="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1A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Magdalena Kowalska</w:t>
      </w:r>
    </w:p>
    <w:p w:rsidR="00000000" w:rsidDel="00000000" w:rsidP="00000000" w:rsidRDefault="00000000" w:rsidRPr="00000000" w14:paraId="0000001B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Marketing &amp; PR Manager</w:t>
      </w:r>
    </w:p>
    <w:p w:rsidR="00000000" w:rsidDel="00000000" w:rsidP="00000000" w:rsidRDefault="00000000" w:rsidRPr="00000000" w14:paraId="0000001C">
      <w:pPr>
        <w:spacing w:line="276" w:lineRule="auto"/>
        <w:ind w:left="0" w:right="0" w:firstLine="0"/>
        <w:rPr>
          <w:color w:val="1155cc"/>
          <w:sz w:val="20"/>
          <w:szCs w:val="20"/>
        </w:rPr>
      </w:pPr>
      <w:r w:rsidDel="00000000" w:rsidR="00000000" w:rsidRPr="00000000">
        <w:rPr>
          <w:color w:val="1155cc"/>
          <w:sz w:val="20"/>
          <w:szCs w:val="20"/>
          <w:rtl w:val="0"/>
        </w:rPr>
        <w:t xml:space="preserve">magdalena.kowalska@nethone.com</w:t>
      </w:r>
    </w:p>
    <w:p w:rsidR="00000000" w:rsidDel="00000000" w:rsidP="00000000" w:rsidRDefault="00000000" w:rsidRPr="00000000" w14:paraId="0000001D">
      <w:pPr>
        <w:spacing w:line="276" w:lineRule="auto"/>
        <w:ind w:left="0" w:righ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+48 502 581 918</w:t>
      </w:r>
    </w:p>
    <w:p w:rsidR="00000000" w:rsidDel="00000000" w:rsidP="00000000" w:rsidRDefault="00000000" w:rsidRPr="00000000" w14:paraId="0000001E">
      <w:pPr>
        <w:ind w:left="0" w:right="-5.07874015747916" w:firstLine="0"/>
        <w:rPr>
          <w:color w:val="979997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.0000000000002" w:top="1440.0000000000002" w:left="1440.0000000000002" w:right="1540.86614173228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ace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aleway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60" w:lineRule="auto"/>
      <w:ind w:left="0" w:firstLine="0"/>
      <w:rPr>
        <w:color w:val="979997"/>
        <w:sz w:val="20"/>
        <w:szCs w:val="20"/>
      </w:rPr>
    </w:pPr>
    <w:r w:rsidDel="00000000" w:rsidR="00000000" w:rsidRPr="00000000">
      <w:rPr>
        <w:color w:val="979997"/>
        <w:sz w:val="20"/>
        <w:szCs w:val="20"/>
      </w:rPr>
      <w:drawing>
        <wp:inline distB="114300" distT="114300" distL="114300" distR="114300">
          <wp:extent cx="511969" cy="9880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969" cy="988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979997"/>
        <w:sz w:val="20"/>
        <w:szCs w:val="20"/>
        <w:rtl w:val="0"/>
      </w:rPr>
      <w:t xml:space="preserve"> </w:t>
    </w:r>
    <w:r w:rsidDel="00000000" w:rsidR="00000000" w:rsidRPr="00000000">
      <w:rPr>
        <w:rFonts w:ascii="Raleway SemiBold" w:cs="Raleway SemiBold" w:eastAsia="Raleway SemiBold" w:hAnsi="Raleway SemiBold"/>
        <w:color w:val="979997"/>
        <w:sz w:val="20"/>
        <w:szCs w:val="20"/>
        <w:rtl w:val="0"/>
      </w:rPr>
      <w:t xml:space="preserve">Sp. z o.o. </w:t>
    </w:r>
    <w:r w:rsidDel="00000000" w:rsidR="00000000" w:rsidRPr="00000000">
      <w:rPr>
        <w:color w:val="979997"/>
        <w:sz w:val="20"/>
        <w:szCs w:val="20"/>
        <w:rtl w:val="0"/>
      </w:rPr>
      <w:t xml:space="preserve"> |  Koszykowa 61, 5th floor  |  00-667 Warsaw, Poland  |  </w:t>
    </w:r>
    <w:r w:rsidDel="00000000" w:rsidR="00000000" w:rsidRPr="00000000">
      <w:rPr>
        <w:color w:val="979997"/>
        <w:sz w:val="20"/>
        <w:szCs w:val="20"/>
        <w:rtl w:val="0"/>
      </w:rPr>
      <w:t xml:space="preserve">contact@nethone.com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360" w:lineRule="auto"/>
      <w:ind w:left="0" w:firstLine="0"/>
      <w:rPr>
        <w:color w:val="979997"/>
        <w:sz w:val="20"/>
        <w:szCs w:val="20"/>
      </w:rPr>
    </w:pPr>
    <w:r w:rsidDel="00000000" w:rsidR="00000000" w:rsidRPr="00000000">
      <w:rPr>
        <w:rFonts w:ascii="Raleway SemiBold" w:cs="Raleway SemiBold" w:eastAsia="Raleway SemiBold" w:hAnsi="Raleway SemiBold"/>
        <w:color w:val="979997"/>
        <w:sz w:val="20"/>
        <w:szCs w:val="20"/>
        <w:rtl w:val="0"/>
      </w:rPr>
      <w:t xml:space="preserve">Invoice address: </w:t>
    </w:r>
    <w:r w:rsidDel="00000000" w:rsidR="00000000" w:rsidRPr="00000000">
      <w:rPr>
        <w:color w:val="979997"/>
        <w:sz w:val="20"/>
        <w:szCs w:val="20"/>
        <w:rtl w:val="0"/>
      </w:rPr>
      <w:t xml:space="preserve"> |  Plac Europejski 1  |  00-844 Warsaw, Poland  |  VAT ID: 5223070603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Style w:val="Heading1"/>
      <w:rPr/>
    </w:pPr>
    <w:bookmarkStart w:colFirst="0" w:colLast="0" w:name="_vbe5c47xrvbb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5962650</wp:posOffset>
          </wp:positionH>
          <wp:positionV relativeFrom="paragraph">
            <wp:posOffset>-66674</wp:posOffset>
          </wp:positionV>
          <wp:extent cx="688133" cy="10708481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31" r="131" t="0"/>
                  <a:stretch>
                    <a:fillRect/>
                  </a:stretch>
                </pic:blipFill>
                <pic:spPr>
                  <a:xfrm>
                    <a:off x="0" y="0"/>
                    <a:ext cx="688133" cy="107084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color w:val="323232"/>
        <w:sz w:val="22"/>
        <w:szCs w:val="22"/>
        <w:lang w:val="pl"/>
      </w:rPr>
    </w:rPrDefault>
    <w:pPrDefault>
      <w:pPr>
        <w:spacing w:line="319.20000000000005" w:lineRule="auto"/>
        <w:ind w:left="720" w:right="6.850393700787549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  <w:ind w:left="0" w:firstLine="0"/>
      <w:jc w:val="both"/>
    </w:pPr>
    <w:rPr>
      <w:rFonts w:ascii="Space Mono" w:cs="Space Mono" w:eastAsia="Space Mono" w:hAnsi="Space Mono"/>
      <w:color w:val="21a7dd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Rule="auto"/>
      <w:ind w:left="0" w:firstLine="0"/>
      <w:jc w:val="both"/>
    </w:pPr>
    <w:rPr>
      <w:color w:val="21a7d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lineRule="auto"/>
      <w:ind w:left="0" w:firstLine="0"/>
      <w:jc w:val="both"/>
    </w:pPr>
    <w:rPr>
      <w:color w:val="21a7dd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ind w:left="0" w:firstLine="0"/>
      <w:jc w:val="both"/>
    </w:pPr>
    <w:rPr>
      <w:rFonts w:ascii="Space Mono" w:cs="Space Mono" w:eastAsia="Space Mono" w:hAnsi="Space Mono"/>
      <w:color w:val="4b3c8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ind w:left="720" w:hanging="360"/>
    </w:pPr>
    <w:rPr>
      <w:b w:val="1"/>
      <w:color w:val="979997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nethone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RalewaySemiBold-italic.ttf"/><Relationship Id="rId10" Type="http://schemas.openxmlformats.org/officeDocument/2006/relationships/font" Target="fonts/RalewaySemiBold-bold.ttf"/><Relationship Id="rId12" Type="http://schemas.openxmlformats.org/officeDocument/2006/relationships/font" Target="fonts/RalewaySemiBold-boldItalic.ttf"/><Relationship Id="rId9" Type="http://schemas.openxmlformats.org/officeDocument/2006/relationships/font" Target="fonts/RalewaySemiBold-regular.ttf"/><Relationship Id="rId5" Type="http://schemas.openxmlformats.org/officeDocument/2006/relationships/font" Target="fonts/SpaceMono-regular.ttf"/><Relationship Id="rId6" Type="http://schemas.openxmlformats.org/officeDocument/2006/relationships/font" Target="fonts/SpaceMono-bold.ttf"/><Relationship Id="rId7" Type="http://schemas.openxmlformats.org/officeDocument/2006/relationships/font" Target="fonts/SpaceMono-italic.ttf"/><Relationship Id="rId8" Type="http://schemas.openxmlformats.org/officeDocument/2006/relationships/font" Target="fonts/SpaceMon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