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line="276" w:lineRule="auto"/>
        <w:rPr/>
      </w:pPr>
      <w:bookmarkStart w:colFirst="0" w:colLast="0" w:name="_ghgk20qz6im4" w:id="0"/>
      <w:bookmarkEnd w:id="0"/>
      <w:r w:rsidDel="00000000" w:rsidR="00000000" w:rsidRPr="00000000">
        <w:rPr>
          <w:rtl w:val="0"/>
        </w:rPr>
        <w:t xml:space="preserve">Ailleron i Nethone łączą siły, aby wzmocnić cyberbezpieczeństwo i zapobiegać oszustwom </w:t>
        <w:br w:type="textWrapping"/>
      </w:r>
    </w:p>
    <w:p w:rsidR="00000000" w:rsidDel="00000000" w:rsidP="00000000" w:rsidRDefault="00000000" w:rsidRPr="00000000" w14:paraId="00000002">
      <w:pPr>
        <w:spacing w:after="0" w:line="276" w:lineRule="auto"/>
        <w:rPr/>
      </w:pPr>
      <w:r w:rsidDel="00000000" w:rsidR="00000000" w:rsidRPr="00000000">
        <w:rPr>
          <w:b w:val="1"/>
          <w:rtl w:val="0"/>
        </w:rPr>
        <w:t xml:space="preserve">[Warszawa] 2 marca 2023 </w:t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rtl w:val="0"/>
        </w:rPr>
        <w:t xml:space="preserve">Ailleron, software house dostarczający usługi i rozwiązania IT dla branży finansowej, oraz Nethone, globalna firma, która dzięki technologii ML pomaga zapobiegać oszustwom płatniczym w kanałach online, ogłosiły partnerstwo technologiczne. Celem współpracy jest doskonalenie usług cyfrowych dla bankowości detalicznej i rozwój oferty KYC (Know Your Customer). Współpraca z Nethone dodatkowo wzbogaci ofertę Ailleron w zakresie cyberbezpieczeństwa, AML (przeciwdziałania praniu brudnych pieniędzy) i zapobiegania oszustwom finansowym. </w:t>
      </w:r>
    </w:p>
    <w:p w:rsidR="00000000" w:rsidDel="00000000" w:rsidP="00000000" w:rsidRDefault="00000000" w:rsidRPr="00000000" w14:paraId="00000003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Partnerstwo zostaje zawarte w czasie, gdy cyberzagrożenia są nie tylko wszechobecne, ale też coraz bardziej wyrafinowane. Oszuści stale doskonalą narzędzia i techniki potrzebne do popełniania przestępstw i prób obejścia systemów antyfraudowych i AML. Dzięki rozwiązaniom Nethone, Ailleron może stawić czoła tym wyzwaniom, jednocześnie ulepszając doświadczenia klientów dzięki skutecznemu uwierzytelnianiu wszystkich użytkowników bez negatywnego wpływu na ich doświadczenia. </w:t>
      </w:r>
    </w:p>
    <w:p w:rsidR="00000000" w:rsidDel="00000000" w:rsidP="00000000" w:rsidRDefault="00000000" w:rsidRPr="00000000" w14:paraId="00000005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“Nasi klienci instytucjonalni mierzą się z wyzwaniami usprawnienia interakcji z klientami podczas weryfikacji tożsamości (IDV) oraz poprawą ich doświadczeń w zakresie cyfrowej rejestracji i uwierzytelniania. Partnerstwo z Nethone pozwoli nam wdrażać oczekiwane przez nich rozwiązania w tych obszarach. W 2023 roku kontynuujemy adaptację uczenia maszynowego do wsparcia specjalistów ds. bezpieczeństwa, ryzyka, AML, zarządzania oszustwami i zgodności. Normą stają się algorytmy, które mogą analizować setki parametrów kontekstowych i uczyć się na podstawie informacji zwrotnych z istniejących procesów przeciwdziałania nadużyciom” -</w:t>
      </w:r>
      <w:r w:rsidDel="00000000" w:rsidR="00000000" w:rsidRPr="00000000">
        <w:rPr>
          <w:rtl w:val="0"/>
        </w:rPr>
        <w:t xml:space="preserve"> podkreśla </w:t>
      </w:r>
      <w:r w:rsidDel="00000000" w:rsidR="00000000" w:rsidRPr="00000000">
        <w:rPr>
          <w:b w:val="1"/>
          <w:rtl w:val="0"/>
        </w:rPr>
        <w:t xml:space="preserve">Michał Walerowski, Business Unit Director AI/ML &amp; Data Solutions w Ailleron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Współpraca między firmami następuje kilka miesięcy po dołączeniu Nethone do Grupy Mangopay, dzięki czemu firma zyskała dostęp do 75 milionów euro inwestycji kapitałowej. Ponadto, od momentu powstania w 2016 roku, Nethone z powodzeniem współpracuje z ponad 100 międzynarodowymi firmami z branży eCommerce, dóbr cyfrowych i finansów.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“Cieszymy się na współpracę z Ailleron i możliwość innowacyjnego wsparcia ich oraz ich klientów w osiąganiu sukcesu komercyjnego. Nasze rozwiązania nie tylko wspomagają działania w zakresie cyberbezpieczeństwa oraz skutecznie wykrywają i zapobiegają oszustwom, ale również pozytywnie wpływają na ogólne doświadczenie użytkowników - coś, do czego obie firmy przywiązują dużą wagę. Takie podejście jest kluczem do sukcesu” - komentuje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Hubert Rachwalski, CEO Nethone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 Ailleron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Ailleron świadczy usługi rozwoju oprogramowania dla fintechów, firm leasingowych, banków i innych podmiotów z branży finansowej, głównie w Europie i Azji Południowo-Wschodniej. Misją firmy jest uczynienie doświadczeń finansowych łatwymi i przyjemnymi dla każdego. Ailleron tworzy innowacyjne rozwiązania IT oparte na technologii chmury, data science i sztucznej inteligencji. Do klientów Ailleron należą takie banki jak Citibank, ING, Santander, BNP Paribas, Standard Chartered i Credit Agricole. Grupa Ailleron świadczy usługi dla ponad 200 klientów w 40 krajach i zatrudnia ponad 1500 specjalistów w Europie i Ameryce. Od 2011 roku jest spółką giełdową.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https://ailleron.com/pl/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 Nethone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Nethone to oparta na uczeniu maszynowym firma działająca w modelu SaaS, która zapobiega oszustwom w kanałach online, chroniąc użytkownika na każdym etapie procesu zakupowego. Umożliwia sprzedawcom internetowym i instytucjom finansowym kompleksowe zrozumienie ich użytkowników (zarówno dobrych, jak i złych) dzięki nagradzanej technologii profilowania, którą nazywa Know Your User (KYU). Autorskie profilowanie online i technologia oparta na AI pomagają Nethone wykrywać i blokować ryzykownych użytkowników, zachowując pozytywne doświadczenia zakupowe wśród wiarygodnych klientów. Nethone to także najszybciej rozwijająca się firma technologiczna w Polsce według Deloitte Technology Fast 50 Central Europe 2021.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https://nethone.com/</w:t>
        </w:r>
      </w:hyperlink>
      <w:r w:rsidDel="00000000" w:rsidR="00000000" w:rsidRPr="00000000">
        <w:rPr>
          <w:rtl w:val="0"/>
        </w:rPr>
        <w:t xml:space="preserve"> </w:t>
      </w:r>
    </w:p>
    <w:sectPr>
      <w:headerReference r:id="rId8" w:type="default"/>
      <w:footerReference r:id="rId9" w:type="default"/>
      <w:pgSz w:h="16834" w:w="11909" w:orient="portrait"/>
      <w:pgMar w:bottom="1440.0000000000002" w:top="2267.716535433071" w:left="1440.0000000000002" w:right="1440.0000000000002" w:header="720.0000000000001" w:footer="2834.64566929133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-933449</wp:posOffset>
          </wp:positionH>
          <wp:positionV relativeFrom="paragraph">
            <wp:posOffset>381000</wp:posOffset>
          </wp:positionV>
          <wp:extent cx="7590284" cy="1622600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90284" cy="16226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rPr/>
    </w:pPr>
    <w:r w:rsidDel="00000000" w:rsidR="00000000" w:rsidRPr="00000000">
      <w:rPr/>
      <w:drawing>
        <wp:inline distB="114300" distT="114300" distL="114300" distR="114300">
          <wp:extent cx="1295400" cy="2286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95400" cy="228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" w:cs="Montserrat" w:eastAsia="Montserrat" w:hAnsi="Montserrat"/>
        <w:sz w:val="24"/>
        <w:szCs w:val="24"/>
        <w:lang w:val="pl"/>
      </w:rPr>
    </w:rPrDefault>
    <w:pPrDefault>
      <w:pPr>
        <w:spacing w:after="60" w:line="319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line="319" w:lineRule="auto"/>
      <w:jc w:val="both"/>
    </w:pPr>
    <w:rPr>
      <w:rFonts w:ascii="Montserrat SemiBold" w:cs="Montserrat SemiBold" w:eastAsia="Montserrat SemiBold" w:hAnsi="Montserrat SemiBold"/>
      <w:color w:val="18b0e0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319" w:lineRule="auto"/>
      <w:jc w:val="both"/>
    </w:pPr>
    <w:rPr>
      <w:rFonts w:ascii="Montserrat SemiBold" w:cs="Montserrat SemiBold" w:eastAsia="Montserrat SemiBold" w:hAnsi="Montserrat SemiBold"/>
      <w:color w:val="510ec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ailleron.com/pl/" TargetMode="External"/><Relationship Id="rId7" Type="http://schemas.openxmlformats.org/officeDocument/2006/relationships/hyperlink" Target="https://nethone.com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SemiBold-regular.ttf"/><Relationship Id="rId2" Type="http://schemas.openxmlformats.org/officeDocument/2006/relationships/font" Target="fonts/MontserratSemiBold-bold.ttf"/><Relationship Id="rId3" Type="http://schemas.openxmlformats.org/officeDocument/2006/relationships/font" Target="fonts/MontserratSemiBold-italic.ttf"/><Relationship Id="rId4" Type="http://schemas.openxmlformats.org/officeDocument/2006/relationships/font" Target="fonts/MontserratSemiBold-boldItalic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